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280" w:lineRule="auto"/>
        <w:ind w:left="-220" w:right="-220" w:firstLine="0"/>
        <w:jc w:val="center"/>
        <w:rPr>
          <w:color w:val="262b2e"/>
          <w:sz w:val="72"/>
          <w:szCs w:val="72"/>
        </w:rPr>
      </w:pPr>
      <w:bookmarkStart w:colFirst="0" w:colLast="0" w:name="_vryh96goh6um" w:id="0"/>
      <w:bookmarkEnd w:id="0"/>
      <w:r w:rsidDel="00000000" w:rsidR="00000000" w:rsidRPr="00000000">
        <w:rPr>
          <w:color w:val="262b2e"/>
          <w:sz w:val="72"/>
          <w:szCs w:val="72"/>
          <w:rtl w:val="0"/>
        </w:rPr>
        <w:t xml:space="preserve">Ayudas y Subvenciones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lineRule="auto"/>
        <w:ind w:left="-220" w:right="-220" w:firstLine="0"/>
        <w:jc w:val="both"/>
        <w:rPr>
          <w:color w:val="676b6d"/>
          <w:sz w:val="23"/>
          <w:szCs w:val="23"/>
        </w:rPr>
      </w:pPr>
      <w:r w:rsidDel="00000000" w:rsidR="00000000" w:rsidRPr="00000000">
        <w:rPr>
          <w:color w:val="676b6d"/>
          <w:sz w:val="23"/>
          <w:szCs w:val="23"/>
          <w:rtl w:val="0"/>
        </w:rPr>
        <w:t xml:space="preserve">En aplicación del artículo 8.1.c) de la Ley 12/2014, la empresa </w:t>
      </w:r>
      <w:r w:rsidDel="00000000" w:rsidR="00000000" w:rsidRPr="00000000">
        <w:rPr>
          <w:b w:val="1"/>
          <w:bCs w:val="1"/>
          <w:color w:val="676b6d"/>
          <w:sz w:val="23"/>
          <w:szCs w:val="23"/>
          <w:rtl w:val="0"/>
        </w:rPr>
        <w:t xml:space="preserve">TADISCAN 2003 SL </w:t>
      </w:r>
      <w:r w:rsidDel="00000000" w:rsidR="00000000" w:rsidRPr="00000000">
        <w:rPr>
          <w:color w:val="676b6d"/>
          <w:sz w:val="23"/>
          <w:szCs w:val="23"/>
          <w:rtl w:val="0"/>
        </w:rPr>
        <w:t xml:space="preserve"> publicará de forma clara y comprensible las subvenciones o ayudas públicas percibidas. A continuación difundimos la información sobre las subvenciones públicas suscritas: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lineRule="auto"/>
        <w:ind w:left="-220" w:right="-220" w:firstLine="0"/>
        <w:rPr>
          <w:color w:val="676b6d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9.0" w:type="dxa"/>
        <w:jc w:val="left"/>
        <w:tblInd w:w="-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9.8"/>
        <w:gridCol w:w="1849.8"/>
        <w:gridCol w:w="1849.8"/>
        <w:gridCol w:w="1849.8"/>
        <w:gridCol w:w="1849.8"/>
        <w:tblGridChange w:id="0">
          <w:tblGrid>
            <w:gridCol w:w="1849.8"/>
            <w:gridCol w:w="1849.8"/>
            <w:gridCol w:w="1849.8"/>
            <w:gridCol w:w="1849.8"/>
            <w:gridCol w:w="1849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76b6d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676b6d"/>
                <w:sz w:val="23"/>
                <w:szCs w:val="23"/>
                <w:highlight w:val="white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76b6d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676b6d"/>
                <w:sz w:val="23"/>
                <w:szCs w:val="23"/>
                <w:highlight w:val="white"/>
                <w:rtl w:val="0"/>
              </w:rPr>
              <w:t xml:space="preserve">Objeto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76b6d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676b6d"/>
                <w:sz w:val="23"/>
                <w:szCs w:val="23"/>
                <w:highlight w:val="white"/>
                <w:rtl w:val="0"/>
              </w:rPr>
              <w:t xml:space="preserve">Proyecto/servicio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76b6d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676b6d"/>
                <w:sz w:val="23"/>
                <w:szCs w:val="23"/>
                <w:highlight w:val="white"/>
                <w:rtl w:val="0"/>
              </w:rPr>
              <w:t xml:space="preserve">Periodo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76b6d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676b6d"/>
                <w:sz w:val="23"/>
                <w:szCs w:val="23"/>
                <w:highlight w:val="white"/>
                <w:rtl w:val="0"/>
              </w:rPr>
              <w:t xml:space="preserve">Importe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76b6d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676b6d"/>
                <w:sz w:val="23"/>
                <w:szCs w:val="23"/>
                <w:highlight w:val="white"/>
                <w:rtl w:val="0"/>
              </w:rPr>
              <w:t xml:space="preserve">CONSEJERÍA DE TURISMO Y EMPLEO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76b6d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676b6d"/>
                <w:sz w:val="23"/>
                <w:szCs w:val="23"/>
                <w:highlight w:val="white"/>
                <w:rtl w:val="0"/>
              </w:rPr>
              <w:t xml:space="preserve">Subvenciones a Empresas Privadas Convenio resiliencia turística en Canarias (C14.I03)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76b6d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676b6d"/>
                <w:sz w:val="23"/>
                <w:szCs w:val="23"/>
                <w:highlight w:val="white"/>
                <w:rtl w:val="0"/>
              </w:rPr>
              <w:t xml:space="preserve">Modernización del bar/cafetería Litibú en Gran Canaria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76b6d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676b6d"/>
                <w:sz w:val="23"/>
                <w:szCs w:val="23"/>
                <w:highlight w:val="white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76b6d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676b6d"/>
                <w:sz w:val="23"/>
                <w:szCs w:val="23"/>
                <w:highlight w:val="white"/>
                <w:rtl w:val="0"/>
              </w:rPr>
              <w:t xml:space="preserve">72.517,15 €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76b6d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676b6d"/>
                <w:sz w:val="23"/>
                <w:szCs w:val="23"/>
                <w:highlight w:val="white"/>
                <w:rtl w:val="0"/>
              </w:rPr>
              <w:t xml:space="preserve">CABILDO INSULAR DE GRAN CANARIA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76b6d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676b6d"/>
                <w:sz w:val="23"/>
                <w:szCs w:val="23"/>
                <w:highlight w:val="white"/>
                <w:rtl w:val="0"/>
              </w:rPr>
              <w:t xml:space="preserve">GC CONVOCATORIA DE INCENTIVOS A LA CONTRATACIÓN DE PERSONAS DESEMPLEADAS EN SITUACIÓN DE DESEMPLEO PERTENECIENTES A COLECTIVOS DE DIFÍCIL INSERCIÓN.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76b6d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676b6d"/>
                <w:sz w:val="23"/>
                <w:szCs w:val="23"/>
                <w:highlight w:val="white"/>
                <w:rtl w:val="0"/>
              </w:rPr>
              <w:t xml:space="preserve">Contratación de empleados en situación de desempleo pertenecientes a colectivos de difícil inserción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76b6d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676b6d"/>
                <w:sz w:val="23"/>
                <w:szCs w:val="23"/>
                <w:highlight w:val="white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color w:val="676b6d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color w:val="676b6d"/>
                <w:sz w:val="23"/>
                <w:szCs w:val="23"/>
                <w:highlight w:val="white"/>
                <w:rtl w:val="0"/>
              </w:rPr>
              <w:t xml:space="preserve">7.000,00 €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